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600"/>
        <w:gridCol w:w="570"/>
        <w:gridCol w:w="6"/>
        <w:gridCol w:w="851"/>
        <w:gridCol w:w="3076"/>
      </w:tblGrid>
      <w:tr w:rsidR="00227EFB" w14:paraId="0DF54A0C" w14:textId="77777777" w:rsidTr="006A41D0">
        <w:trPr>
          <w:cantSplit/>
          <w:trHeight w:val="140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6AE578" w14:textId="77777777" w:rsidR="00227EFB" w:rsidRPr="00A56E87" w:rsidRDefault="00227EFB" w:rsidP="00F755E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A56E87">
              <w:rPr>
                <w:rFonts w:ascii="Book Antiqua" w:hAnsi="Book Antiqua"/>
                <w:b/>
                <w:snapToGrid w:val="0"/>
                <w:sz w:val="24"/>
                <w:szCs w:val="24"/>
              </w:rPr>
              <w:t>C</w:t>
            </w:r>
            <w:r w:rsidR="00B22885" w:rsidRPr="00A56E87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HECK LIST </w:t>
            </w:r>
          </w:p>
          <w:p w14:paraId="1EF1D4D5" w14:textId="77777777" w:rsidR="00227EFB" w:rsidRPr="00A56E87" w:rsidRDefault="00227EFB" w:rsidP="00F755E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3E7EB79C" w14:textId="77777777" w:rsidR="00227EFB" w:rsidRDefault="006A41D0" w:rsidP="00F755E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snapToGrid w:val="0"/>
                <w:sz w:val="24"/>
                <w:szCs w:val="24"/>
              </w:rPr>
              <w:t>“</w:t>
            </w:r>
            <w:r w:rsidR="00227EFB" w:rsidRPr="00A56E87">
              <w:rPr>
                <w:rFonts w:ascii="Book Antiqua" w:hAnsi="Book Antiqua"/>
                <w:b/>
                <w:snapToGrid w:val="0"/>
                <w:sz w:val="24"/>
                <w:szCs w:val="24"/>
              </w:rPr>
              <w:t>ADEMPIMENTI FISCALI</w:t>
            </w:r>
            <w:r w:rsidR="00C85428" w:rsidRPr="00A56E87">
              <w:rPr>
                <w:rFonts w:ascii="Book Antiqua" w:hAnsi="Book Antiqua"/>
                <w:b/>
                <w:snapToGrid w:val="0"/>
                <w:sz w:val="24"/>
                <w:szCs w:val="24"/>
              </w:rPr>
              <w:t>: IRAP</w:t>
            </w:r>
            <w:r>
              <w:rPr>
                <w:rFonts w:ascii="Book Antiqua" w:hAnsi="Book Antiqua"/>
                <w:b/>
                <w:snapToGrid w:val="0"/>
                <w:sz w:val="24"/>
                <w:szCs w:val="24"/>
              </w:rPr>
              <w:t>”</w:t>
            </w:r>
          </w:p>
          <w:p w14:paraId="1E56B969" w14:textId="77777777" w:rsidR="006A41D0" w:rsidRPr="00A56E87" w:rsidRDefault="006A41D0" w:rsidP="00F755E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0013AD8A" w14:textId="77777777" w:rsidR="00227EFB" w:rsidRPr="00A56E87" w:rsidRDefault="00227EFB" w:rsidP="00F755E7">
            <w:pPr>
              <w:widowControl w:val="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227EFB" w14:paraId="48AC1CA0" w14:textId="77777777" w:rsidTr="006A41D0">
        <w:trPr>
          <w:cantSplit/>
          <w:trHeight w:val="98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62669B5" w14:textId="77777777" w:rsidR="00227EFB" w:rsidRPr="00A56E87" w:rsidRDefault="00227EFB" w:rsidP="00C8542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5AB2007D" w14:textId="77777777" w:rsidR="00227EFB" w:rsidRPr="00A56E87" w:rsidRDefault="00C85428" w:rsidP="00C8542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A56E87">
              <w:rPr>
                <w:rFonts w:ascii="Book Antiqua" w:hAnsi="Book Antiqua"/>
                <w:b/>
                <w:snapToGrid w:val="0"/>
                <w:sz w:val="24"/>
                <w:szCs w:val="24"/>
              </w:rPr>
              <w:t>Punto n. 1.5</w:t>
            </w:r>
            <w:r w:rsidR="00A56E87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  <w:r w:rsidRPr="00A56E87">
              <w:rPr>
                <w:rFonts w:ascii="Book Antiqua" w:hAnsi="Book Antiqua"/>
                <w:b/>
                <w:snapToGrid w:val="0"/>
                <w:sz w:val="24"/>
                <w:szCs w:val="24"/>
              </w:rPr>
              <w:t>PVC n.</w:t>
            </w:r>
            <w:r w:rsidR="00032FAE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  <w:r w:rsidRPr="00A56E87">
              <w:rPr>
                <w:rFonts w:ascii="Book Antiqua" w:hAnsi="Book Antiqua"/>
                <w:b/>
                <w:snapToGrid w:val="0"/>
                <w:sz w:val="24"/>
                <w:szCs w:val="24"/>
              </w:rPr>
              <w:t>11</w:t>
            </w:r>
          </w:p>
          <w:p w14:paraId="79C9AAD8" w14:textId="77777777" w:rsidR="00227EFB" w:rsidRPr="00A56E87" w:rsidRDefault="00227EFB" w:rsidP="00C8542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092A7E" w:rsidRPr="003272B0" w14:paraId="77784E87" w14:textId="77777777" w:rsidTr="007F56F9">
        <w:trPr>
          <w:cantSplit/>
          <w:trHeight w:val="407"/>
        </w:trPr>
        <w:tc>
          <w:tcPr>
            <w:tcW w:w="10349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53CE3AF" w14:textId="3ACED78C" w:rsidR="00092A7E" w:rsidRPr="008F5865" w:rsidRDefault="00092A7E" w:rsidP="00092A7E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5956A0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4BF78D8F" w14:textId="77777777" w:rsidR="00092A7E" w:rsidRPr="008F5865" w:rsidRDefault="00092A7E" w:rsidP="00092A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72FE90BF" w14:textId="77777777" w:rsidR="00092A7E" w:rsidRDefault="00092A7E" w:rsidP="00092A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5A7FE4C5" w14:textId="48465519" w:rsidR="00092A7E" w:rsidRDefault="00092A7E" w:rsidP="00092A7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0AE1FE97" w14:textId="77777777" w:rsidTr="00812693">
        <w:trPr>
          <w:cantSplit/>
          <w:trHeight w:val="407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DD2FF38" w14:textId="77777777" w:rsidR="00A17C3E" w:rsidRDefault="00A17C3E" w:rsidP="00F755E7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295B9B1" w14:textId="77777777" w:rsidR="00227EFB" w:rsidRPr="00E56E02" w:rsidRDefault="00E56E02" w:rsidP="00F755E7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501BDE6" w14:textId="77777777" w:rsidR="00EA5C69" w:rsidRDefault="00EA5C69" w:rsidP="00F755E7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EDF1178" w14:textId="77777777" w:rsidR="00227EFB" w:rsidRPr="00E56E02" w:rsidRDefault="00AC732C" w:rsidP="00F755E7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AE1E9B" w14:textId="77777777" w:rsidR="00EA5C69" w:rsidRDefault="00EA5C69" w:rsidP="00F755E7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8D8FD5E" w14:textId="77777777" w:rsidR="00227EFB" w:rsidRPr="00E56E02" w:rsidRDefault="00AC732C" w:rsidP="00F755E7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7CEFEA" w14:textId="77777777" w:rsidR="00227EFB" w:rsidRDefault="00AC732C" w:rsidP="00F755E7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3F0CCC02" w14:textId="092D7202" w:rsidR="00A17C3E" w:rsidRPr="00E56E02" w:rsidRDefault="00A17C3E" w:rsidP="00F755E7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402F0F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8FB470F" w14:textId="11A56A3D" w:rsidR="00227EFB" w:rsidRPr="00E56E02" w:rsidRDefault="00A17C3E" w:rsidP="00F755E7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A677CA" w:rsidRPr="001818C5" w14:paraId="1943E9B0" w14:textId="77777777" w:rsidTr="00812693">
        <w:trPr>
          <w:cantSplit/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F2A" w14:textId="77777777" w:rsidR="00A677CA" w:rsidRPr="00B064DF" w:rsidRDefault="005812A7" w:rsidP="00F755E7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L’Ente ha esercitato l’opzione per l’applicazione ai servizi commerciali ai fini Iva del metodo contabile previsto dall’art. 5, del Dlgs. n. 446/97, come consentito dall’art. 10-</w:t>
            </w:r>
            <w:r w:rsidRPr="00B064DF">
              <w:rPr>
                <w:rFonts w:ascii="Book Antiqua" w:hAnsi="Book Antiqua"/>
                <w:i/>
                <w:iCs/>
                <w:snapToGrid w:val="0"/>
              </w:rPr>
              <w:t>bis</w:t>
            </w:r>
            <w:r w:rsidRPr="00B064DF">
              <w:rPr>
                <w:rFonts w:ascii="Book Antiqua" w:hAnsi="Book Antiqua"/>
                <w:snapToGrid w:val="0"/>
              </w:rPr>
              <w:t>, comma 2, dello stesso Decreto?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7C9C9A" w14:textId="77777777" w:rsidR="00A677CA" w:rsidRPr="00B064DF" w:rsidRDefault="00A677CA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7838" w14:textId="77777777" w:rsidR="00A677CA" w:rsidRPr="001818C5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BFA2" w14:textId="77777777" w:rsidR="00A677CA" w:rsidRPr="001818C5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61AD" w14:textId="77777777" w:rsidR="00A677CA" w:rsidRPr="001818C5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B76A9" w:rsidRPr="00FC4811" w14:paraId="336B4666" w14:textId="77777777" w:rsidTr="00812693">
        <w:trPr>
          <w:trHeight w:val="3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57C" w14:textId="77777777" w:rsidR="008B76A9" w:rsidRPr="00B064DF" w:rsidRDefault="008B76A9" w:rsidP="008B76A9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L’Ente, in ipotesi affermativa, ha provveduto a:</w:t>
            </w:r>
          </w:p>
          <w:p w14:paraId="19D2DA01" w14:textId="77777777" w:rsidR="008B76A9" w:rsidRPr="00B064DF" w:rsidRDefault="008B76A9" w:rsidP="00F755E7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217AD" w14:textId="77777777" w:rsidR="008B76A9" w:rsidRPr="00B064DF" w:rsidRDefault="008B76A9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3457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EE68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EE9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B76A9" w:rsidRPr="00FC4811" w14:paraId="636640CD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428" w14:textId="77777777" w:rsidR="008B76A9" w:rsidRPr="00B064DF" w:rsidRDefault="008B76A9" w:rsidP="00C85428">
            <w:pPr>
              <w:pStyle w:val="Paragrafoelenco"/>
              <w:widowControl w:val="0"/>
              <w:numPr>
                <w:ilvl w:val="0"/>
                <w:numId w:val="30"/>
              </w:numPr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seguire le disposizioni dettate dall’art. 1, comma 2, del Dpr. n. 441/97 sui “comportamenti concludenti”, secondo le quali l'opzione deve essere esercitata con apposita determinazione del Dirigente o Responsabile del servizio, entro i termini del primo versamento mensile?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2C8D9" w14:textId="77777777" w:rsidR="008B76A9" w:rsidRPr="00B064DF" w:rsidRDefault="008B76A9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1043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B5AE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97CB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B76A9" w:rsidRPr="00FC4811" w14:paraId="0E11B942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48D" w14:textId="77777777" w:rsidR="008B76A9" w:rsidRPr="00B064DF" w:rsidRDefault="008B76A9" w:rsidP="00C85428">
            <w:pPr>
              <w:pStyle w:val="Paragrafoelenco"/>
              <w:widowControl w:val="0"/>
              <w:numPr>
                <w:ilvl w:val="0"/>
                <w:numId w:val="30"/>
              </w:numPr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a valutare la convenienza ad optare per uno o più servizi rilevanti ai fini Iva per la determinazione della base imponibile con i criteri del valore della produzione netta?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2BDA2" w14:textId="77777777" w:rsidR="008B76A9" w:rsidRPr="00B064DF" w:rsidRDefault="008B76A9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C5B7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03D3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A9B8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B76A9" w:rsidRPr="00FC4811" w14:paraId="09F9D3C4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268" w14:textId="77777777" w:rsidR="008B76A9" w:rsidRPr="00B064DF" w:rsidRDefault="008B76A9" w:rsidP="00C85428">
            <w:pPr>
              <w:pStyle w:val="Paragrafoelenco"/>
              <w:widowControl w:val="0"/>
              <w:numPr>
                <w:ilvl w:val="0"/>
                <w:numId w:val="30"/>
              </w:numPr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unitamente alla convenienza, è stata valutata la possibilità operativa di pervenire alla determinazione del Conto economico del servizio o dei servizi, classificato ai sensi dell'art. 2425 del Codice civile, ai fini della determinazione della base imponibile?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689EB" w14:textId="77777777" w:rsidR="008B76A9" w:rsidRPr="00B064DF" w:rsidRDefault="008B76A9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E9EA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A56D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2442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B76A9" w:rsidRPr="00FC4811" w14:paraId="09EFAD75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D3C" w14:textId="77777777" w:rsidR="008B76A9" w:rsidRPr="00B064DF" w:rsidRDefault="008B76A9" w:rsidP="00C85428">
            <w:pPr>
              <w:pStyle w:val="Paragrafoelenco"/>
              <w:widowControl w:val="0"/>
              <w:numPr>
                <w:ilvl w:val="0"/>
                <w:numId w:val="30"/>
              </w:numPr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l'opzione espressa nell'esercizio precedente è stata segnalata nel quadro VO della Dichiarazione annuale Iva (Circolare Agenzia Entrate 20 dicembre 2000, n. 234/E)?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75820" w14:textId="77777777" w:rsidR="008B76A9" w:rsidRPr="00B064DF" w:rsidRDefault="008B76A9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C1F4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9112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3ACE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B76A9" w:rsidRPr="00FC4811" w14:paraId="1F2EB267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12F5" w14:textId="77777777" w:rsidR="008B76A9" w:rsidRPr="00B064DF" w:rsidRDefault="008B76A9" w:rsidP="00C85428">
            <w:pPr>
              <w:pStyle w:val="Paragrafoelenco"/>
              <w:widowControl w:val="0"/>
              <w:numPr>
                <w:ilvl w:val="0"/>
                <w:numId w:val="30"/>
              </w:numPr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si è tenuto conto che l'opzione esercitata vincola l'Ente per un triennio?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A1659" w14:textId="77777777" w:rsidR="008B76A9" w:rsidRPr="00B064DF" w:rsidRDefault="008B76A9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29E8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4708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B5A8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B76A9" w:rsidRPr="00FC4811" w14:paraId="7B8221EF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5BE" w14:textId="77777777" w:rsidR="008B76A9" w:rsidRPr="00B064DF" w:rsidRDefault="008B76A9" w:rsidP="00C85428">
            <w:pPr>
              <w:pStyle w:val="Paragrafoelenco"/>
              <w:widowControl w:val="0"/>
              <w:numPr>
                <w:ilvl w:val="0"/>
                <w:numId w:val="30"/>
              </w:numPr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ai fini Iva le attività optate sono rilevate con contabilità separata ex art.36, del Dpr. N. 633/72?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07FF7" w14:textId="77777777" w:rsidR="008B76A9" w:rsidRPr="00B064DF" w:rsidRDefault="008B76A9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0DAF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BC15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2C60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B76A9" w:rsidRPr="00FC4811" w14:paraId="424A5CA0" w14:textId="77777777" w:rsidTr="00812693">
        <w:trPr>
          <w:trHeight w:val="26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D78" w14:textId="41AD420A" w:rsidR="008B76A9" w:rsidRPr="00B064DF" w:rsidRDefault="00ED05AD" w:rsidP="008B76A9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 xml:space="preserve">7. </w:t>
            </w:r>
            <w:r w:rsidR="008B76A9" w:rsidRPr="00B064DF">
              <w:rPr>
                <w:rFonts w:ascii="Book Antiqua" w:hAnsi="Book Antiqua"/>
                <w:snapToGrid w:val="0"/>
              </w:rPr>
              <w:t xml:space="preserve"> per annotare le operazioni che generano elementi positivi e negativi di reddito rilevanti ai fini della quantificazione della base imponibile Irap si è utilizzato uno dei seguenti sistemi?</w:t>
            </w:r>
          </w:p>
          <w:p w14:paraId="62DD70F2" w14:textId="77777777" w:rsidR="008B76A9" w:rsidRPr="00B064DF" w:rsidRDefault="008B76A9" w:rsidP="008B76A9">
            <w:pPr>
              <w:widowControl w:val="0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a) scritture contabili ai fini Iva, rettificate ed integrate;</w:t>
            </w:r>
          </w:p>
          <w:p w14:paraId="6442D146" w14:textId="77777777" w:rsidR="008B76A9" w:rsidRPr="00B064DF" w:rsidRDefault="008B76A9" w:rsidP="008B76A9">
            <w:pPr>
              <w:widowControl w:val="0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b) prospetto di conciliazione del servizio o dei servizi;</w:t>
            </w:r>
          </w:p>
          <w:p w14:paraId="726350B4" w14:textId="77777777" w:rsidR="008B76A9" w:rsidRPr="00B064DF" w:rsidRDefault="008B76A9" w:rsidP="008B76A9">
            <w:pPr>
              <w:widowControl w:val="0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c) contabilità analitica del servizio o dei servizi.</w:t>
            </w:r>
          </w:p>
          <w:p w14:paraId="671C0745" w14:textId="11E963FB" w:rsidR="008B76A9" w:rsidRPr="00B064DF" w:rsidRDefault="008B76A9" w:rsidP="00C85428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Nelle ipotesi sub a) e b) del punto precedente l’Ente ha provveduto a verificare se sono state predisposte apposite scritture o carte di lavoro da conservare per tutto il periodo previsto per l’accertamento?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FC1E7" w14:textId="77777777" w:rsidR="008B76A9" w:rsidRPr="00B064DF" w:rsidRDefault="008B76A9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A9B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548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375B" w14:textId="77777777" w:rsidR="008B76A9" w:rsidRPr="00FC4811" w:rsidRDefault="008B76A9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D05AD" w:rsidRPr="00FC4811" w14:paraId="3AF2DDC8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34D" w14:textId="77777777" w:rsidR="00ED05AD" w:rsidRPr="00B064DF" w:rsidRDefault="00ED05AD" w:rsidP="00ED05A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lastRenderedPageBreak/>
              <w:t>8.  L’Ente ha provveduto a identificare i beni strumentali utilizzati dal/i servizio/i optato/i?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CEE43" w14:textId="77777777" w:rsidR="00ED05AD" w:rsidRPr="00B064DF" w:rsidRDefault="00ED05AD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3949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8129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D1FE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D05AD" w:rsidRPr="00FC4811" w14:paraId="649967E6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9B3" w14:textId="2ECB59C4" w:rsidR="00ED05AD" w:rsidRPr="00B064DF" w:rsidRDefault="00ED05AD" w:rsidP="00C85428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9. L’Ente ha provveduto a calcolare le quote di ammortamento dei beni utilizzati con le modalità ed i criteri di cui agli artt. 67 (ora art. 102, Dlgs. n. 344/03) e 68 (art. 103, Dlgs. n. 344/03) del Tuir?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DABE9" w14:textId="77777777" w:rsidR="00ED05AD" w:rsidRPr="00B064DF" w:rsidRDefault="00ED05AD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F937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7836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A988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D05AD" w:rsidRPr="00FC4811" w14:paraId="3C19BA73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3CF" w14:textId="77777777" w:rsidR="00ED05AD" w:rsidRPr="00B064DF" w:rsidRDefault="00ED05AD" w:rsidP="00C85428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10. L’Ente,</w:t>
            </w:r>
            <w:r w:rsidRPr="00B064DF">
              <w:rPr>
                <w:rFonts w:ascii="Calibri" w:eastAsia="MS PGothic" w:hAnsi="Calibri" w:cs="+mn-cs"/>
                <w:color w:val="000000"/>
                <w:kern w:val="24"/>
                <w:sz w:val="32"/>
                <w:szCs w:val="32"/>
              </w:rPr>
              <w:t xml:space="preserve"> </w:t>
            </w:r>
            <w:r w:rsidRPr="00B064DF">
              <w:rPr>
                <w:rFonts w:ascii="Book Antiqua" w:hAnsi="Book Antiqua"/>
                <w:snapToGrid w:val="0"/>
              </w:rPr>
              <w:t>nella determinazione del costo dei beni strumentali da ammortizzare e nella determinazione della quota di ammortamento deducibile, ha tenuto conto di eventuali contributi in conto impianti ottenuti?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BD390" w14:textId="77777777" w:rsidR="00ED05AD" w:rsidRPr="00B064DF" w:rsidRDefault="00ED05AD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FC6D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B585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7393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D05AD" w:rsidRPr="00FC4811" w14:paraId="18BBC1A6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4EB" w14:textId="77777777" w:rsidR="00ED05AD" w:rsidRPr="00B064DF" w:rsidRDefault="00ED05AD" w:rsidP="00F0684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1</w:t>
            </w:r>
            <w:r w:rsidR="00F06845">
              <w:rPr>
                <w:rFonts w:ascii="Book Antiqua" w:hAnsi="Book Antiqua"/>
                <w:snapToGrid w:val="0"/>
              </w:rPr>
              <w:t>1</w:t>
            </w:r>
            <w:r w:rsidRPr="00B064DF">
              <w:rPr>
                <w:rFonts w:ascii="Book Antiqua" w:hAnsi="Book Antiqua"/>
                <w:snapToGrid w:val="0"/>
              </w:rPr>
              <w:t>. L’Ente,</w:t>
            </w:r>
            <w:r w:rsidRPr="00B064DF">
              <w:rPr>
                <w:rFonts w:ascii="Calibri" w:eastAsia="MS PGothic" w:hAnsi="Calibri" w:cs="+mn-cs"/>
                <w:color w:val="000000"/>
                <w:kern w:val="24"/>
                <w:sz w:val="32"/>
                <w:szCs w:val="32"/>
              </w:rPr>
              <w:t xml:space="preserve"> </w:t>
            </w:r>
            <w:r w:rsidRPr="00B064DF">
              <w:rPr>
                <w:rFonts w:ascii="Book Antiqua" w:hAnsi="Book Antiqua"/>
                <w:snapToGrid w:val="0"/>
              </w:rPr>
              <w:t>nei componenti positivi del valore della produzione ha tenuto conto di eventuali contributi in conto esercizio ottenuti per il servizio o per i servizi optati?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4DAEB9" w14:textId="77777777" w:rsidR="00ED05AD" w:rsidRPr="00B064DF" w:rsidRDefault="00ED05AD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E9DE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AA63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6F68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D05AD" w:rsidRPr="00FC4811" w14:paraId="34D777C4" w14:textId="77777777" w:rsidTr="00812693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11D" w14:textId="4A3F8FC4" w:rsidR="00ED05AD" w:rsidRPr="00B064DF" w:rsidRDefault="00ED05AD" w:rsidP="00F0684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1</w:t>
            </w:r>
            <w:r w:rsidR="00F06845">
              <w:rPr>
                <w:rFonts w:ascii="Book Antiqua" w:hAnsi="Book Antiqua"/>
                <w:snapToGrid w:val="0"/>
              </w:rPr>
              <w:t>2</w:t>
            </w:r>
            <w:r w:rsidRPr="00B064DF">
              <w:rPr>
                <w:rFonts w:ascii="Book Antiqua" w:hAnsi="Book Antiqua"/>
                <w:snapToGrid w:val="0"/>
              </w:rPr>
              <w:t>. L’Ente, ha provveduto nella determinazione della base imponibile del sistema retributivo a ridurre la stessa delle somme pagate nei servizi optati per le retribuzioni di lavoro dipendente, i redditi assimilati al lavoro dipendente, quelli per collaborazioni coordinate e continuative e per lavoro autonomo occasionale?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D5E23" w14:textId="77777777" w:rsidR="00ED05AD" w:rsidRPr="00B064DF" w:rsidRDefault="00ED05AD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2E12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3BB6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806C" w14:textId="77777777" w:rsidR="00ED05AD" w:rsidRPr="00FC4811" w:rsidRDefault="00ED05AD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A677CA" w:rsidRPr="00FC4811" w14:paraId="3F64777F" w14:textId="77777777" w:rsidTr="00812693">
        <w:trPr>
          <w:trHeight w:val="1156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6D73" w14:textId="534FCE7A" w:rsidR="00A677CA" w:rsidRPr="00B064DF" w:rsidRDefault="002D2D51" w:rsidP="00F755E7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L’Ente,</w:t>
            </w:r>
            <w:r w:rsidR="0053032D">
              <w:rPr>
                <w:rFonts w:ascii="Book Antiqua" w:hAnsi="Book Antiqua"/>
                <w:snapToGrid w:val="0"/>
              </w:rPr>
              <w:t xml:space="preserve"> </w:t>
            </w:r>
            <w:r w:rsidRPr="00B064DF">
              <w:rPr>
                <w:rFonts w:ascii="Book Antiqua" w:hAnsi="Book Antiqua"/>
                <w:snapToGrid w:val="0"/>
              </w:rPr>
              <w:t>ha provveduto,</w:t>
            </w:r>
            <w:r w:rsidR="0053032D">
              <w:rPr>
                <w:rFonts w:ascii="Book Antiqua" w:hAnsi="Book Antiqua"/>
                <w:snapToGrid w:val="0"/>
              </w:rPr>
              <w:t xml:space="preserve"> </w:t>
            </w:r>
            <w:r w:rsidRPr="00B064DF">
              <w:rPr>
                <w:rFonts w:ascii="Book Antiqua" w:hAnsi="Book Antiqua"/>
                <w:snapToGrid w:val="0"/>
              </w:rPr>
              <w:t>per quanto concerne il metodo di determinazione d’Imposta di tipo retributivo, a versare entro il 16 del mese successivo gli acconti mensili, con utilizzo del Modello F24 EP?</w:t>
            </w:r>
            <w:r w:rsidR="00C85428" w:rsidRPr="00B064DF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A70D" w14:textId="77777777" w:rsidR="00A677CA" w:rsidRPr="00B064DF" w:rsidRDefault="00A677CA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6222" w14:textId="77777777" w:rsidR="00A677CA" w:rsidRPr="00FC4811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85F8" w14:textId="77777777" w:rsidR="00A677CA" w:rsidRPr="00FC4811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7035" w14:textId="77777777" w:rsidR="00A677CA" w:rsidRPr="00FC4811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B54B5" w:rsidRPr="00574869" w14:paraId="003A862E" w14:textId="77777777" w:rsidTr="00812693">
        <w:trPr>
          <w:cantSplit/>
          <w:trHeight w:val="5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F9A" w14:textId="37B10C2B" w:rsidR="005B54B5" w:rsidRPr="0000393E" w:rsidRDefault="005B54B5" w:rsidP="00F755E7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00393E">
              <w:rPr>
                <w:rFonts w:ascii="Book Antiqua" w:hAnsi="Book Antiqua"/>
                <w:snapToGrid w:val="0"/>
              </w:rPr>
              <w:t>L’Ente ha rispettato il divieto di compensazione fra il credito Irap retributivo e debito Irap commerciale</w:t>
            </w:r>
            <w:r w:rsidR="00C85428" w:rsidRPr="0000393E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E0FF7" w14:textId="77777777" w:rsidR="005B54B5" w:rsidRPr="00B064DF" w:rsidRDefault="005B54B5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5957" w14:textId="77777777" w:rsidR="005B54B5" w:rsidRPr="00574869" w:rsidRDefault="005B54B5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1395" w14:textId="77777777" w:rsidR="005B54B5" w:rsidRPr="00574869" w:rsidRDefault="005B54B5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FEB8" w14:textId="77777777" w:rsidR="005B54B5" w:rsidRPr="00574869" w:rsidRDefault="005B54B5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A677CA" w:rsidRPr="00574869" w14:paraId="0EBDF686" w14:textId="77777777" w:rsidTr="00812693">
        <w:trPr>
          <w:cantSplit/>
          <w:trHeight w:val="10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210" w14:textId="389FA4AF" w:rsidR="0018173C" w:rsidRPr="0000393E" w:rsidRDefault="00ED05AD" w:rsidP="00F0684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00393E">
              <w:rPr>
                <w:rFonts w:ascii="Book Antiqua" w:hAnsi="Book Antiqua"/>
                <w:snapToGrid w:val="0"/>
              </w:rPr>
              <w:t xml:space="preserve">L’Ente </w:t>
            </w:r>
            <w:r w:rsidR="00806ECB" w:rsidRPr="0000393E">
              <w:rPr>
                <w:rFonts w:ascii="Book Antiqua" w:hAnsi="Book Antiqua"/>
                <w:snapToGrid w:val="0"/>
              </w:rPr>
              <w:t>ha provveduto</w:t>
            </w:r>
            <w:r w:rsidR="00806ECB" w:rsidRPr="0000393E">
              <w:rPr>
                <w:rFonts w:ascii="Calibri" w:eastAsia="MS PGothic" w:hAnsi="Calibri" w:cs="+mn-cs"/>
                <w:color w:val="000000"/>
                <w:kern w:val="24"/>
                <w:sz w:val="32"/>
                <w:szCs w:val="32"/>
              </w:rPr>
              <w:t xml:space="preserve"> </w:t>
            </w:r>
            <w:r w:rsidR="00806ECB" w:rsidRPr="0000393E">
              <w:rPr>
                <w:rFonts w:ascii="Book Antiqua" w:hAnsi="Book Antiqua"/>
                <w:snapToGrid w:val="0"/>
              </w:rPr>
              <w:t>nel caso di ritardato o omesso versamento di qualche acconto mensile, ad effettuare il “</w:t>
            </w:r>
            <w:r w:rsidR="00806ECB" w:rsidRPr="0000393E">
              <w:rPr>
                <w:rFonts w:ascii="Book Antiqua" w:hAnsi="Book Antiqua"/>
                <w:i/>
                <w:iCs/>
                <w:snapToGrid w:val="0"/>
              </w:rPr>
              <w:t>ravvedimento operoso</w:t>
            </w:r>
            <w:r w:rsidR="00806ECB" w:rsidRPr="0000393E">
              <w:rPr>
                <w:rFonts w:ascii="Book Antiqua" w:hAnsi="Book Antiqua"/>
                <w:snapToGrid w:val="0"/>
              </w:rPr>
              <w:t xml:space="preserve">” </w:t>
            </w:r>
            <w:r w:rsidR="00F06845" w:rsidRPr="0000393E">
              <w:rPr>
                <w:rFonts w:ascii="Book Antiqua" w:hAnsi="Book Antiqua"/>
                <w:snapToGrid w:val="0"/>
              </w:rPr>
              <w:t xml:space="preserve">nei termini come articolati </w:t>
            </w:r>
            <w:r w:rsidR="00806ECB" w:rsidRPr="0000393E">
              <w:rPr>
                <w:rFonts w:ascii="Book Antiqua" w:hAnsi="Book Antiqua"/>
                <w:snapToGrid w:val="0"/>
              </w:rPr>
              <w:t>dall’art. 13, del Dlgs. n. 472/97</w:t>
            </w:r>
            <w:r w:rsidR="00F06845" w:rsidRPr="0000393E">
              <w:rPr>
                <w:rFonts w:ascii="Book Antiqua" w:hAnsi="Book Antiqua"/>
                <w:snapToGrid w:val="0"/>
              </w:rPr>
              <w:t xml:space="preserve"> corrispondendo le rispettive sanzioni ed interessi</w:t>
            </w:r>
            <w:r w:rsidR="00806ECB" w:rsidRPr="0000393E">
              <w:rPr>
                <w:rFonts w:ascii="Book Antiqua" w:hAnsi="Book Antiqua"/>
                <w:snapToGrid w:val="0"/>
              </w:rPr>
              <w:t>?</w:t>
            </w:r>
            <w:r w:rsidR="00C85428" w:rsidRPr="0000393E"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05583A" w14:textId="77777777" w:rsidR="00A677CA" w:rsidRPr="00B064DF" w:rsidRDefault="00A677CA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66F7" w14:textId="77777777" w:rsidR="00A677CA" w:rsidRPr="00574869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C68F" w14:textId="77777777" w:rsidR="00A677CA" w:rsidRPr="00574869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1199" w14:textId="77777777" w:rsidR="00A677CA" w:rsidRPr="00574869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A677CA" w:rsidRPr="00574869" w14:paraId="7558AB1D" w14:textId="77777777" w:rsidTr="00812693">
        <w:trPr>
          <w:cantSplit/>
          <w:trHeight w:val="73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149" w14:textId="77777777" w:rsidR="00664CE1" w:rsidRPr="0000393E" w:rsidRDefault="00681A81" w:rsidP="00F755E7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00393E">
              <w:rPr>
                <w:rFonts w:ascii="Book Antiqua" w:hAnsi="Book Antiqua"/>
                <w:snapToGrid w:val="0"/>
              </w:rPr>
              <w:t>L’Ente ha provveduto a compilare correttamente</w:t>
            </w:r>
            <w:r w:rsidRPr="0000393E">
              <w:rPr>
                <w:rFonts w:ascii="Calibri" w:eastAsia="MS PGothic" w:hAnsi="Calibri" w:cs="+mn-cs"/>
                <w:color w:val="000000"/>
                <w:kern w:val="24"/>
                <w:sz w:val="32"/>
                <w:szCs w:val="32"/>
              </w:rPr>
              <w:t xml:space="preserve"> </w:t>
            </w:r>
            <w:r w:rsidRPr="0000393E">
              <w:rPr>
                <w:rFonts w:ascii="Book Antiqua" w:hAnsi="Book Antiqua"/>
                <w:snapToGrid w:val="0"/>
              </w:rPr>
              <w:t>il frontespizio ed i Quadri IK e IR, di interesse per gli Enti Locali, del nuovo Modello di Dichiarazione Irap?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4C69C" w14:textId="77777777" w:rsidR="00A677CA" w:rsidRPr="00B064DF" w:rsidRDefault="00A677CA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2763" w14:textId="77777777" w:rsidR="00A677CA" w:rsidRPr="00574869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DD34" w14:textId="77777777" w:rsidR="00A677CA" w:rsidRPr="00574869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DE5E" w14:textId="77777777" w:rsidR="00A677CA" w:rsidRPr="00574869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A677CA" w:rsidRPr="00574869" w14:paraId="07AB03CA" w14:textId="77777777" w:rsidTr="00812693">
        <w:trPr>
          <w:cantSplit/>
          <w:trHeight w:val="256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82F" w14:textId="77777777" w:rsidR="00A677CA" w:rsidRPr="0000393E" w:rsidRDefault="00ED05AD" w:rsidP="00F06845">
            <w:pPr>
              <w:widowControl w:val="0"/>
              <w:jc w:val="both"/>
              <w:rPr>
                <w:rFonts w:ascii="Book Antiqua" w:hAnsi="Book Antiqua"/>
              </w:rPr>
            </w:pPr>
            <w:r w:rsidRPr="0000393E">
              <w:rPr>
                <w:rFonts w:ascii="Book Antiqua" w:hAnsi="Book Antiqua"/>
                <w:snapToGrid w:val="0"/>
              </w:rPr>
              <w:t>L’Ente</w:t>
            </w:r>
            <w:r w:rsidR="00AA6846" w:rsidRPr="0000393E">
              <w:rPr>
                <w:rFonts w:ascii="Book Antiqua" w:hAnsi="Book Antiqua"/>
                <w:snapToGrid w:val="0"/>
              </w:rPr>
              <w:t xml:space="preserve"> ha provveduto a ridurre</w:t>
            </w:r>
            <w:r w:rsidR="00D415FB" w:rsidRPr="0000393E">
              <w:rPr>
                <w:rFonts w:ascii="Book Antiqua" w:hAnsi="Book Antiqua"/>
                <w:snapToGrid w:val="0"/>
              </w:rPr>
              <w:t xml:space="preserve"> nel corso dell’esercizio o in sede di Dichiarazione annuale Irap la base imponibile del metod</w:t>
            </w:r>
            <w:r w:rsidR="00F06845" w:rsidRPr="0000393E">
              <w:rPr>
                <w:rFonts w:ascii="Book Antiqua" w:hAnsi="Book Antiqua"/>
                <w:snapToGrid w:val="0"/>
              </w:rPr>
              <w:t>o</w:t>
            </w:r>
            <w:r w:rsidR="00D415FB" w:rsidRPr="0000393E">
              <w:rPr>
                <w:rFonts w:ascii="Book Antiqua" w:hAnsi="Book Antiqua"/>
                <w:snapToGrid w:val="0"/>
              </w:rPr>
              <w:t xml:space="preserve"> di calcolo “retributivo” </w:t>
            </w:r>
            <w:r w:rsidR="00D415FB" w:rsidRPr="0000393E">
              <w:rPr>
                <w:rFonts w:ascii="Book Antiqua" w:hAnsi="Book Antiqua"/>
                <w:i/>
                <w:iCs/>
                <w:snapToGrid w:val="0"/>
              </w:rPr>
              <w:t>ex</w:t>
            </w:r>
            <w:r w:rsidR="00D415FB" w:rsidRPr="0000393E">
              <w:rPr>
                <w:rFonts w:ascii="Book Antiqua" w:hAnsi="Book Antiqua"/>
                <w:snapToGrid w:val="0"/>
              </w:rPr>
              <w:t xml:space="preserve"> art. 10-</w:t>
            </w:r>
            <w:r w:rsidR="00D415FB" w:rsidRPr="0000393E">
              <w:rPr>
                <w:rFonts w:ascii="Book Antiqua" w:hAnsi="Book Antiqua"/>
                <w:i/>
                <w:iCs/>
                <w:snapToGrid w:val="0"/>
              </w:rPr>
              <w:t>bis</w:t>
            </w:r>
            <w:r w:rsidR="00D415FB" w:rsidRPr="0000393E">
              <w:rPr>
                <w:rFonts w:ascii="Book Antiqua" w:hAnsi="Book Antiqua"/>
                <w:snapToGrid w:val="0"/>
              </w:rPr>
              <w:t>, comma 1, Dlgs. n. 446/97, di un ammontare pari alle spese sostenute per il personale disabile così classificato, ai sensi dell’art. 1, della Legge n. 68/99 ovvero art. 5 della Legge n. 482768 (art. 11, Dlgs. n. 446/97), sul quale l’Agenzia delle Entrate si è pronunciata più volte (Risoluzioni 26 novembre 2004 n. 142/E, 16 maggio 2006 n. 64/E, e 13 dicembre 2006 n. 139)</w:t>
            </w:r>
            <w:r w:rsidR="00AA6846" w:rsidRPr="0000393E">
              <w:rPr>
                <w:rFonts w:ascii="Book Antiqua" w:hAnsi="Book Antiqua"/>
                <w:snapToGrid w:val="0"/>
              </w:rPr>
              <w:t>?</w:t>
            </w:r>
            <w:r w:rsidR="00562095" w:rsidRPr="0000393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1749EA2" w14:textId="77777777" w:rsidR="00A677CA" w:rsidRPr="00B064DF" w:rsidRDefault="00A677CA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6747B" w14:textId="77777777" w:rsidR="00A677CA" w:rsidRPr="00574869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F8566" w14:textId="77777777" w:rsidR="00A677CA" w:rsidRPr="00574869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D776B" w14:textId="77777777" w:rsidR="00A677CA" w:rsidRPr="00574869" w:rsidRDefault="00A677CA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755E7" w:rsidRPr="00574869" w14:paraId="112F1994" w14:textId="77777777" w:rsidTr="00812693">
        <w:trPr>
          <w:cantSplit/>
          <w:trHeight w:val="12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D89" w14:textId="77777777" w:rsidR="00F755E7" w:rsidRPr="00B064DF" w:rsidRDefault="00ED05AD" w:rsidP="00562095">
            <w:pPr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L’Ente</w:t>
            </w:r>
            <w:r w:rsidR="00562095" w:rsidRPr="00B064DF">
              <w:rPr>
                <w:rFonts w:ascii="Book Antiqua" w:hAnsi="Book Antiqua"/>
                <w:snapToGrid w:val="0"/>
              </w:rPr>
              <w:t xml:space="preserve"> ha provveduto a ridurre nel corso dell’esercizio</w:t>
            </w:r>
            <w:r w:rsidR="00562095" w:rsidRPr="00B064DF">
              <w:rPr>
                <w:rFonts w:ascii="Calibri" w:eastAsia="MS PGothic" w:hAnsi="Calibri" w:cs="+mn-cs"/>
                <w:color w:val="000000"/>
                <w:kern w:val="24"/>
                <w:sz w:val="32"/>
                <w:szCs w:val="32"/>
              </w:rPr>
              <w:t xml:space="preserve"> </w:t>
            </w:r>
            <w:r w:rsidR="00562095" w:rsidRPr="00B064DF">
              <w:rPr>
                <w:rFonts w:ascii="Book Antiqua" w:hAnsi="Book Antiqua"/>
                <w:snapToGrid w:val="0"/>
              </w:rPr>
              <w:t xml:space="preserve">o in sede di Dichiarazione annuale Irap la base imponibile di entrambi i metodi di calcolo (quello “retributivo” </w:t>
            </w:r>
            <w:r w:rsidR="00562095" w:rsidRPr="00B064DF">
              <w:rPr>
                <w:rFonts w:ascii="Book Antiqua" w:hAnsi="Book Antiqua"/>
                <w:i/>
                <w:iCs/>
                <w:snapToGrid w:val="0"/>
              </w:rPr>
              <w:t>ex</w:t>
            </w:r>
            <w:r w:rsidR="00562095" w:rsidRPr="00B064DF">
              <w:rPr>
                <w:rFonts w:ascii="Book Antiqua" w:hAnsi="Book Antiqua"/>
                <w:snapToGrid w:val="0"/>
              </w:rPr>
              <w:t xml:space="preserve"> art. 10-</w:t>
            </w:r>
            <w:r w:rsidR="00562095" w:rsidRPr="00B064DF">
              <w:rPr>
                <w:rFonts w:ascii="Book Antiqua" w:hAnsi="Book Antiqua"/>
                <w:i/>
                <w:iCs/>
                <w:snapToGrid w:val="0"/>
              </w:rPr>
              <w:t>bis</w:t>
            </w:r>
            <w:r w:rsidR="00562095" w:rsidRPr="00B064DF">
              <w:rPr>
                <w:rFonts w:ascii="Book Antiqua" w:hAnsi="Book Antiqua"/>
                <w:snapToGrid w:val="0"/>
              </w:rPr>
              <w:t xml:space="preserve">, comma 1, Dlgs. n. 446/97, e quello “contabile” </w:t>
            </w:r>
            <w:r w:rsidR="00562095" w:rsidRPr="00B064DF">
              <w:rPr>
                <w:rFonts w:ascii="Book Antiqua" w:hAnsi="Book Antiqua"/>
                <w:i/>
                <w:iCs/>
                <w:snapToGrid w:val="0"/>
              </w:rPr>
              <w:t>ex</w:t>
            </w:r>
            <w:r w:rsidR="00562095" w:rsidRPr="00B064DF">
              <w:rPr>
                <w:rFonts w:ascii="Book Antiqua" w:hAnsi="Book Antiqua"/>
                <w:snapToGrid w:val="0"/>
              </w:rPr>
              <w:t xml:space="preserve"> art. 10-</w:t>
            </w:r>
            <w:r w:rsidR="00562095" w:rsidRPr="00B064DF">
              <w:rPr>
                <w:rFonts w:ascii="Book Antiqua" w:hAnsi="Book Antiqua"/>
                <w:i/>
                <w:iCs/>
                <w:snapToGrid w:val="0"/>
              </w:rPr>
              <w:t>bis</w:t>
            </w:r>
            <w:r w:rsidR="00562095" w:rsidRPr="00B064DF">
              <w:rPr>
                <w:rFonts w:ascii="Book Antiqua" w:hAnsi="Book Antiqua"/>
                <w:snapToGrid w:val="0"/>
              </w:rPr>
              <w:t>, comma 2, stesso Decreto) di un ammontare pari alle spese sostenute per il personale assunto con contratto di formazione-lavoro e di apprendistato (art. 11, Dlgs. n. 446/97)?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BD209A" w14:textId="77777777" w:rsidR="00F755E7" w:rsidRPr="00B064DF" w:rsidRDefault="00F755E7" w:rsidP="00F755E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9A00" w14:textId="77777777" w:rsidR="00F755E7" w:rsidRPr="00574869" w:rsidRDefault="00F755E7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B49C" w14:textId="77777777" w:rsidR="00F755E7" w:rsidRPr="00574869" w:rsidRDefault="00F755E7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5B0DF" w14:textId="77777777" w:rsidR="00F755E7" w:rsidRPr="00574869" w:rsidRDefault="00F755E7" w:rsidP="00F755E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755E7" w14:paraId="47F56EF4" w14:textId="77777777" w:rsidTr="00812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39"/>
        </w:trPr>
        <w:tc>
          <w:tcPr>
            <w:tcW w:w="5246" w:type="dxa"/>
          </w:tcPr>
          <w:p w14:paraId="56F50FF1" w14:textId="77777777" w:rsidR="00F755E7" w:rsidRPr="00B064DF" w:rsidRDefault="00ED05AD" w:rsidP="00502E5C">
            <w:pPr>
              <w:jc w:val="both"/>
            </w:pPr>
            <w:r w:rsidRPr="00B064DF">
              <w:rPr>
                <w:rFonts w:ascii="Book Antiqua" w:hAnsi="Book Antiqua"/>
                <w:snapToGrid w:val="0"/>
              </w:rPr>
              <w:t xml:space="preserve">L’Ente </w:t>
            </w:r>
            <w:r w:rsidR="00502E5C" w:rsidRPr="00B064DF">
              <w:rPr>
                <w:rFonts w:ascii="Book Antiqua" w:hAnsi="Book Antiqua"/>
                <w:snapToGrid w:val="0"/>
              </w:rPr>
              <w:t>ha provveduto a versare l’eventuale saldo a debito risultante dalla Dichiarazione annuale Irap per uno od entrambi i “binari” istituzionale-retributivo e commerciale-contabile entro il termine previsto dall’art. 17, del Dpr. 435/01?</w:t>
            </w:r>
          </w:p>
        </w:tc>
        <w:tc>
          <w:tcPr>
            <w:tcW w:w="600" w:type="dxa"/>
          </w:tcPr>
          <w:p w14:paraId="12716DD7" w14:textId="77777777" w:rsidR="00F755E7" w:rsidRDefault="00F755E7" w:rsidP="00F755E7">
            <w:pPr>
              <w:spacing w:after="200" w:line="276" w:lineRule="auto"/>
            </w:pPr>
          </w:p>
          <w:p w14:paraId="248F8A0E" w14:textId="77777777" w:rsidR="00F755E7" w:rsidRDefault="00F755E7" w:rsidP="00F755E7">
            <w:pPr>
              <w:spacing w:after="200" w:line="276" w:lineRule="auto"/>
            </w:pPr>
          </w:p>
          <w:p w14:paraId="31AFF05C" w14:textId="77777777" w:rsidR="00F755E7" w:rsidRDefault="00F755E7" w:rsidP="00F755E7"/>
        </w:tc>
        <w:tc>
          <w:tcPr>
            <w:tcW w:w="576" w:type="dxa"/>
            <w:gridSpan w:val="2"/>
          </w:tcPr>
          <w:p w14:paraId="45A4D8E1" w14:textId="77777777" w:rsidR="00F755E7" w:rsidRDefault="00F755E7" w:rsidP="00F755E7">
            <w:pPr>
              <w:spacing w:after="200" w:line="276" w:lineRule="auto"/>
            </w:pPr>
          </w:p>
          <w:p w14:paraId="60211950" w14:textId="77777777" w:rsidR="00F755E7" w:rsidRDefault="00F755E7" w:rsidP="00F755E7">
            <w:pPr>
              <w:spacing w:after="200" w:line="276" w:lineRule="auto"/>
            </w:pPr>
          </w:p>
          <w:p w14:paraId="70D4E947" w14:textId="77777777" w:rsidR="00F755E7" w:rsidRDefault="00F755E7" w:rsidP="00F755E7"/>
        </w:tc>
        <w:tc>
          <w:tcPr>
            <w:tcW w:w="851" w:type="dxa"/>
          </w:tcPr>
          <w:p w14:paraId="3306331E" w14:textId="77777777" w:rsidR="00F755E7" w:rsidRDefault="00F755E7" w:rsidP="00F755E7">
            <w:pPr>
              <w:spacing w:after="200" w:line="276" w:lineRule="auto"/>
            </w:pPr>
          </w:p>
          <w:p w14:paraId="0FE3D626" w14:textId="77777777" w:rsidR="00F755E7" w:rsidRDefault="00F755E7" w:rsidP="00F755E7">
            <w:pPr>
              <w:spacing w:after="200" w:line="276" w:lineRule="auto"/>
            </w:pPr>
          </w:p>
          <w:p w14:paraId="329B37E3" w14:textId="77777777" w:rsidR="00F755E7" w:rsidRDefault="00F755E7" w:rsidP="00F755E7"/>
        </w:tc>
        <w:tc>
          <w:tcPr>
            <w:tcW w:w="3076" w:type="dxa"/>
          </w:tcPr>
          <w:p w14:paraId="07BBCF44" w14:textId="77777777" w:rsidR="00F755E7" w:rsidRDefault="00F755E7" w:rsidP="00F755E7">
            <w:pPr>
              <w:spacing w:after="200" w:line="276" w:lineRule="auto"/>
            </w:pPr>
          </w:p>
          <w:p w14:paraId="4B0B2856" w14:textId="77777777" w:rsidR="00F755E7" w:rsidRDefault="00F755E7" w:rsidP="00F755E7">
            <w:pPr>
              <w:spacing w:after="200" w:line="276" w:lineRule="auto"/>
            </w:pPr>
          </w:p>
          <w:p w14:paraId="061753C5" w14:textId="77777777" w:rsidR="00F755E7" w:rsidRDefault="00F755E7" w:rsidP="00F755E7"/>
        </w:tc>
      </w:tr>
      <w:tr w:rsidR="006B3345" w14:paraId="26E45093" w14:textId="77777777" w:rsidTr="00812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</w:trPr>
        <w:tc>
          <w:tcPr>
            <w:tcW w:w="5246" w:type="dxa"/>
          </w:tcPr>
          <w:p w14:paraId="2DAE5DEF" w14:textId="77777777" w:rsidR="006B3345" w:rsidRPr="00B064DF" w:rsidRDefault="00ED05AD" w:rsidP="006B3345">
            <w:pPr>
              <w:jc w:val="both"/>
            </w:pPr>
            <w:r w:rsidRPr="00B064DF">
              <w:rPr>
                <w:rFonts w:ascii="Book Antiqua" w:hAnsi="Book Antiqua"/>
                <w:snapToGrid w:val="0"/>
              </w:rPr>
              <w:lastRenderedPageBreak/>
              <w:t>L’Ente</w:t>
            </w:r>
            <w:r w:rsidR="006B3345" w:rsidRPr="00B064DF">
              <w:rPr>
                <w:rFonts w:ascii="Book Antiqua" w:hAnsi="Book Antiqua"/>
                <w:snapToGrid w:val="0"/>
              </w:rPr>
              <w:t xml:space="preserve"> ha provveduto per quanto riguarda la compilazione del nuovo Modello IK, ad adempiere a quanto riportato nelle Istruzioni ministeriali relativamente alla presentazione della Dichiarazione presentata da soggetti che emettono i provvedimenti autorizzativi dei versamenti dell’Irap?</w:t>
            </w:r>
          </w:p>
        </w:tc>
        <w:tc>
          <w:tcPr>
            <w:tcW w:w="600" w:type="dxa"/>
          </w:tcPr>
          <w:p w14:paraId="155664C1" w14:textId="77777777" w:rsidR="006B3345" w:rsidRDefault="006B3345" w:rsidP="00F755E7">
            <w:pPr>
              <w:spacing w:after="200" w:line="276" w:lineRule="auto"/>
            </w:pPr>
          </w:p>
          <w:p w14:paraId="2E640C2B" w14:textId="77777777" w:rsidR="006B3345" w:rsidRDefault="006B3345" w:rsidP="00F755E7"/>
        </w:tc>
        <w:tc>
          <w:tcPr>
            <w:tcW w:w="576" w:type="dxa"/>
            <w:gridSpan w:val="2"/>
          </w:tcPr>
          <w:p w14:paraId="4F338F1C" w14:textId="77777777" w:rsidR="006B3345" w:rsidRDefault="006B3345" w:rsidP="00F755E7">
            <w:pPr>
              <w:spacing w:after="200" w:line="276" w:lineRule="auto"/>
            </w:pPr>
          </w:p>
          <w:p w14:paraId="0805F593" w14:textId="77777777" w:rsidR="006B3345" w:rsidRDefault="006B3345" w:rsidP="00F755E7"/>
        </w:tc>
        <w:tc>
          <w:tcPr>
            <w:tcW w:w="851" w:type="dxa"/>
          </w:tcPr>
          <w:p w14:paraId="67AAB80E" w14:textId="77777777" w:rsidR="006B3345" w:rsidRDefault="006B3345" w:rsidP="00F755E7">
            <w:pPr>
              <w:spacing w:after="200" w:line="276" w:lineRule="auto"/>
            </w:pPr>
          </w:p>
          <w:p w14:paraId="1B63DF02" w14:textId="77777777" w:rsidR="006B3345" w:rsidRDefault="006B3345" w:rsidP="00F755E7"/>
        </w:tc>
        <w:tc>
          <w:tcPr>
            <w:tcW w:w="3076" w:type="dxa"/>
          </w:tcPr>
          <w:p w14:paraId="616F151C" w14:textId="77777777" w:rsidR="006B3345" w:rsidRDefault="006B3345" w:rsidP="00F755E7">
            <w:pPr>
              <w:spacing w:after="200" w:line="276" w:lineRule="auto"/>
            </w:pPr>
          </w:p>
          <w:p w14:paraId="7D89B4A6" w14:textId="77777777" w:rsidR="006B3345" w:rsidRDefault="006B3345" w:rsidP="00F755E7"/>
        </w:tc>
      </w:tr>
      <w:tr w:rsidR="00FB22D3" w14:paraId="075E31D0" w14:textId="77777777" w:rsidTr="0018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79"/>
        </w:trPr>
        <w:tc>
          <w:tcPr>
            <w:tcW w:w="5246" w:type="dxa"/>
            <w:tcBorders>
              <w:bottom w:val="single" w:sz="4" w:space="0" w:color="auto"/>
            </w:tcBorders>
          </w:tcPr>
          <w:p w14:paraId="1FF3CC14" w14:textId="77777777" w:rsidR="00FB22D3" w:rsidRPr="00B064DF" w:rsidRDefault="00ED05AD" w:rsidP="00ED05AD">
            <w:pPr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 xml:space="preserve">L’Ente </w:t>
            </w:r>
            <w:r w:rsidR="00FB22D3" w:rsidRPr="00B064DF">
              <w:rPr>
                <w:rFonts w:ascii="Book Antiqua" w:hAnsi="Book Antiqua"/>
                <w:snapToGrid w:val="0"/>
              </w:rPr>
              <w:t>ha provveduto al versamento del saldo e degli acconti Irap alle dovute scadenze?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6E8E957" w14:textId="77777777" w:rsidR="00FB22D3" w:rsidRDefault="00FB22D3" w:rsidP="00F755E7">
            <w:pPr>
              <w:spacing w:after="200" w:line="276" w:lineRule="auto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14:paraId="104C92CA" w14:textId="77777777" w:rsidR="00FB22D3" w:rsidRDefault="00FB22D3" w:rsidP="00F755E7">
            <w:pPr>
              <w:spacing w:after="200" w:line="276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A7FD3D" w14:textId="77777777" w:rsidR="00FB22D3" w:rsidRDefault="00FB22D3" w:rsidP="00F755E7">
            <w:pPr>
              <w:spacing w:after="200" w:line="276" w:lineRule="auto"/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1BAAED4C" w14:textId="77777777" w:rsidR="00FB22D3" w:rsidRDefault="00FB22D3" w:rsidP="00F755E7">
            <w:pPr>
              <w:spacing w:after="200" w:line="276" w:lineRule="auto"/>
            </w:pPr>
          </w:p>
        </w:tc>
      </w:tr>
      <w:tr w:rsidR="00D415FB" w14:paraId="04DD4EE5" w14:textId="77777777" w:rsidTr="0018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4"/>
        </w:trPr>
        <w:tc>
          <w:tcPr>
            <w:tcW w:w="5246" w:type="dxa"/>
            <w:tcBorders>
              <w:bottom w:val="single" w:sz="4" w:space="0" w:color="auto"/>
            </w:tcBorders>
          </w:tcPr>
          <w:p w14:paraId="43A9AAB1" w14:textId="2E051AE0" w:rsidR="00D415FB" w:rsidRPr="00B064DF" w:rsidRDefault="00D415FB" w:rsidP="002865FF">
            <w:pPr>
              <w:jc w:val="both"/>
              <w:rPr>
                <w:rFonts w:ascii="Book Antiqua" w:hAnsi="Book Antiqua"/>
                <w:snapToGrid w:val="0"/>
              </w:rPr>
            </w:pPr>
            <w:r w:rsidRPr="00B064DF">
              <w:rPr>
                <w:rFonts w:ascii="Book Antiqua" w:hAnsi="Book Antiqua"/>
                <w:snapToGrid w:val="0"/>
              </w:rPr>
              <w:t>L’Ente, ha provveduto a presentare per via telematica la Dichiarazione annuale Irap entro il termine del 3</w:t>
            </w:r>
            <w:r w:rsidR="002865FF" w:rsidRPr="00B064DF">
              <w:rPr>
                <w:rFonts w:ascii="Book Antiqua" w:hAnsi="Book Antiqua"/>
                <w:snapToGrid w:val="0"/>
              </w:rPr>
              <w:t>1</w:t>
            </w:r>
            <w:r w:rsidR="0053032D">
              <w:rPr>
                <w:rFonts w:ascii="Book Antiqua" w:hAnsi="Book Antiqua"/>
                <w:snapToGrid w:val="0"/>
              </w:rPr>
              <w:t xml:space="preserve"> </w:t>
            </w:r>
            <w:r w:rsidR="002865FF" w:rsidRPr="00B064DF">
              <w:rPr>
                <w:rFonts w:ascii="Book Antiqua" w:hAnsi="Book Antiqua"/>
                <w:snapToGrid w:val="0"/>
              </w:rPr>
              <w:t>Ottobre?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5F060FA2" w14:textId="77777777" w:rsidR="00D415FB" w:rsidRDefault="00D415FB" w:rsidP="00F755E7">
            <w:pPr>
              <w:spacing w:after="200" w:line="276" w:lineRule="auto"/>
            </w:pPr>
          </w:p>
          <w:p w14:paraId="069290B3" w14:textId="77777777" w:rsidR="00D415FB" w:rsidRDefault="00D415FB" w:rsidP="00F755E7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14:paraId="3FC5C425" w14:textId="77777777" w:rsidR="00D415FB" w:rsidRDefault="00D415FB" w:rsidP="00F755E7">
            <w:pPr>
              <w:spacing w:after="200" w:line="276" w:lineRule="auto"/>
            </w:pPr>
          </w:p>
          <w:p w14:paraId="2102A439" w14:textId="77777777" w:rsidR="00D415FB" w:rsidRDefault="00D415FB" w:rsidP="00F755E7"/>
        </w:tc>
        <w:tc>
          <w:tcPr>
            <w:tcW w:w="851" w:type="dxa"/>
            <w:tcBorders>
              <w:bottom w:val="single" w:sz="4" w:space="0" w:color="auto"/>
            </w:tcBorders>
          </w:tcPr>
          <w:p w14:paraId="7D62DDF1" w14:textId="77777777" w:rsidR="00D415FB" w:rsidRDefault="00D415FB" w:rsidP="00F755E7">
            <w:pPr>
              <w:spacing w:after="200" w:line="276" w:lineRule="auto"/>
            </w:pPr>
          </w:p>
          <w:p w14:paraId="54E97271" w14:textId="77777777" w:rsidR="00D415FB" w:rsidRDefault="00D415FB" w:rsidP="00F755E7"/>
        </w:tc>
        <w:tc>
          <w:tcPr>
            <w:tcW w:w="3076" w:type="dxa"/>
            <w:tcBorders>
              <w:bottom w:val="single" w:sz="4" w:space="0" w:color="auto"/>
            </w:tcBorders>
          </w:tcPr>
          <w:p w14:paraId="1AD837B0" w14:textId="77777777" w:rsidR="00D415FB" w:rsidRDefault="00D415FB" w:rsidP="00F755E7">
            <w:pPr>
              <w:spacing w:after="200" w:line="276" w:lineRule="auto"/>
            </w:pPr>
          </w:p>
          <w:p w14:paraId="73DD1E38" w14:textId="77777777" w:rsidR="00D415FB" w:rsidRDefault="00D415FB" w:rsidP="00F755E7"/>
        </w:tc>
      </w:tr>
      <w:tr w:rsidR="00180213" w14:paraId="241DCDD3" w14:textId="77777777" w:rsidTr="0018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4"/>
        </w:trPr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23E11" w14:textId="77777777" w:rsidR="00180213" w:rsidRPr="00B064DF" w:rsidRDefault="00180213" w:rsidP="002865FF">
            <w:pPr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3D983" w14:textId="77777777" w:rsidR="00180213" w:rsidRDefault="00180213" w:rsidP="00F755E7">
            <w:pPr>
              <w:spacing w:after="200" w:line="276" w:lineRule="auto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C2712" w14:textId="77777777" w:rsidR="00180213" w:rsidRDefault="00180213" w:rsidP="00F755E7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3A505" w14:textId="77777777" w:rsidR="00180213" w:rsidRDefault="00180213" w:rsidP="00F755E7">
            <w:pPr>
              <w:spacing w:after="200" w:line="276" w:lineRule="auto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E9599" w14:textId="77777777" w:rsidR="00180213" w:rsidRDefault="00180213" w:rsidP="00F755E7">
            <w:pPr>
              <w:spacing w:after="200" w:line="276" w:lineRule="auto"/>
            </w:pPr>
          </w:p>
        </w:tc>
      </w:tr>
      <w:tr w:rsidR="00C85428" w:rsidRPr="00F97FDB" w14:paraId="7FB1A5FB" w14:textId="77777777" w:rsidTr="00180213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71B" w14:textId="77777777" w:rsidR="00C85428" w:rsidRPr="00F97FDB" w:rsidRDefault="00C85428" w:rsidP="006A41D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br w:type="page"/>
            </w:r>
            <w:r>
              <w:br w:type="page"/>
            </w:r>
            <w:r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84E53" w14:textId="77777777" w:rsidR="00C85428" w:rsidRPr="00F97FDB" w:rsidRDefault="00C85428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180213" w:rsidRPr="00F97FDB" w14:paraId="1547405E" w14:textId="77777777" w:rsidTr="00180213">
        <w:trPr>
          <w:cantSplit/>
          <w:trHeight w:val="293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0BF" w14:textId="77777777" w:rsidR="00180213" w:rsidRPr="00F97FDB" w:rsidRDefault="00180213" w:rsidP="00180213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185D8237" w14:textId="77777777" w:rsidR="00180213" w:rsidRPr="00121841" w:rsidRDefault="00180213" w:rsidP="00180213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56593126" w14:textId="77777777" w:rsidR="00180213" w:rsidRDefault="00180213" w:rsidP="00180213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36BF6F59" w14:textId="77777777" w:rsidR="00180213" w:rsidRDefault="00180213" w:rsidP="00180213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77F54C4B" w14:textId="77777777" w:rsidR="00180213" w:rsidRPr="00B16AD9" w:rsidRDefault="00180213" w:rsidP="00180213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6E7B2DF2" w14:textId="77777777" w:rsidR="00180213" w:rsidRDefault="00180213" w:rsidP="00180213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09A02C08" w14:textId="77777777" w:rsidR="00180213" w:rsidRDefault="00180213" w:rsidP="00180213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7DC9B86" w14:textId="069E7FF9" w:rsidR="00180213" w:rsidRPr="00180213" w:rsidRDefault="00180213" w:rsidP="00180213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  <w:color w:val="FF0000"/>
              </w:rPr>
              <w:t>N</w:t>
            </w: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/R – Non ricorre la fattispecie</w:t>
            </w:r>
          </w:p>
        </w:tc>
      </w:tr>
    </w:tbl>
    <w:p w14:paraId="66F5F84E" w14:textId="77777777" w:rsidR="00C85428" w:rsidRDefault="00C85428"/>
    <w:tbl>
      <w:tblPr>
        <w:tblW w:w="10346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4"/>
        <w:gridCol w:w="5102"/>
      </w:tblGrid>
      <w:tr w:rsidR="00440843" w:rsidRPr="00574869" w14:paraId="79CCA9CB" w14:textId="77777777" w:rsidTr="00C85428">
        <w:trPr>
          <w:cantSplit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3BEA4" w14:textId="77777777" w:rsidR="00440843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12F55CDE" w14:textId="59E964AA" w:rsidR="00440843" w:rsidRPr="00ED383F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960509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F86878" w14:textId="77777777" w:rsidR="00440843" w:rsidRPr="00574869" w:rsidRDefault="00440843" w:rsidP="008B76A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0843" w:rsidRPr="00574869" w14:paraId="28DA9819" w14:textId="77777777" w:rsidTr="00C85428">
        <w:trPr>
          <w:cantSplit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AC7A8" w14:textId="77777777" w:rsidR="00440843" w:rsidRPr="00ED383F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EA5C10" w14:textId="77777777" w:rsidR="00440843" w:rsidRPr="00574869" w:rsidRDefault="00440843" w:rsidP="008B76A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0843" w:rsidRPr="00574869" w14:paraId="6A6448F0" w14:textId="77777777" w:rsidTr="00C85428">
        <w:trPr>
          <w:cantSplit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9B918" w14:textId="77777777" w:rsidR="00440843" w:rsidRPr="00ED383F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0EA888" w14:textId="77777777" w:rsidR="00440843" w:rsidRPr="00574869" w:rsidRDefault="00440843" w:rsidP="008B76A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0843" w:rsidRPr="00574869" w14:paraId="3A5D7E2D" w14:textId="77777777" w:rsidTr="00C85428">
        <w:trPr>
          <w:cantSplit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F0FBB" w14:textId="544D88DA" w:rsidR="00440843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081B4C08" w14:textId="77777777" w:rsidR="00440843" w:rsidRPr="00ED383F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0933E" w14:textId="77777777" w:rsidR="00440843" w:rsidRPr="00574869" w:rsidRDefault="00440843" w:rsidP="008B76A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0843" w:rsidRPr="00574869" w14:paraId="041178BC" w14:textId="77777777" w:rsidTr="00C85428">
        <w:trPr>
          <w:cantSplit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E5738" w14:textId="77777777" w:rsidR="00440843" w:rsidRPr="00ED383F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24D523" w14:textId="77777777" w:rsidR="00440843" w:rsidRPr="00574869" w:rsidRDefault="00440843" w:rsidP="008B76A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0843" w:rsidRPr="00574869" w14:paraId="453E1925" w14:textId="77777777" w:rsidTr="00C85428">
        <w:trPr>
          <w:cantSplit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16FAF" w14:textId="77777777" w:rsidR="00440843" w:rsidRPr="00ED383F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364692" w14:textId="77777777" w:rsidR="00440843" w:rsidRPr="00574869" w:rsidRDefault="00440843" w:rsidP="008B76A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0843" w:rsidRPr="00574869" w14:paraId="492D057D" w14:textId="77777777" w:rsidTr="00C85428">
        <w:trPr>
          <w:cantSplit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76C91" w14:textId="77777777" w:rsidR="00440843" w:rsidRPr="00ED383F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ECE580" w14:textId="77777777" w:rsidR="00440843" w:rsidRPr="00574869" w:rsidRDefault="00440843" w:rsidP="008B76A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0843" w:rsidRPr="00574869" w14:paraId="054785FD" w14:textId="77777777" w:rsidTr="00C85428">
        <w:trPr>
          <w:cantSplit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869C5" w14:textId="77777777" w:rsidR="00440843" w:rsidRPr="00ED383F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3E90D9" w14:textId="77777777" w:rsidR="00440843" w:rsidRPr="00574869" w:rsidRDefault="00440843" w:rsidP="008B76A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0843" w:rsidRPr="00574869" w14:paraId="79EFE6DB" w14:textId="77777777" w:rsidTr="00C85428">
        <w:trPr>
          <w:cantSplit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BF462" w14:textId="77777777" w:rsidR="00440843" w:rsidRPr="00ED383F" w:rsidRDefault="00440843" w:rsidP="008B76A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0B134B" w14:textId="77777777" w:rsidR="00440843" w:rsidRPr="00574869" w:rsidRDefault="00440843" w:rsidP="008B76A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03784BC2" w14:textId="77777777" w:rsidR="006A41D0" w:rsidRDefault="006A41D0" w:rsidP="00685C25">
      <w:pPr>
        <w:spacing w:after="200" w:line="276" w:lineRule="auto"/>
        <w:jc w:val="center"/>
        <w:rPr>
          <w:rFonts w:eastAsia="MS Mincho"/>
          <w:sz w:val="22"/>
        </w:rPr>
      </w:pPr>
    </w:p>
    <w:sectPr w:rsidR="006A41D0" w:rsidSect="006A4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5803" w14:textId="77777777" w:rsidR="002825C3" w:rsidRDefault="002825C3" w:rsidP="00604A3B">
      <w:r>
        <w:separator/>
      </w:r>
    </w:p>
  </w:endnote>
  <w:endnote w:type="continuationSeparator" w:id="0">
    <w:p w14:paraId="3DF89C2A" w14:textId="77777777" w:rsidR="002825C3" w:rsidRDefault="002825C3" w:rsidP="006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73DD" w14:textId="77777777" w:rsidR="00604A3B" w:rsidRDefault="00604A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110F" w14:textId="77777777" w:rsidR="00604A3B" w:rsidRDefault="00604A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2E3D" w14:textId="77777777" w:rsidR="00604A3B" w:rsidRDefault="00604A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1E78E" w14:textId="77777777" w:rsidR="002825C3" w:rsidRDefault="002825C3" w:rsidP="00604A3B">
      <w:r>
        <w:separator/>
      </w:r>
    </w:p>
  </w:footnote>
  <w:footnote w:type="continuationSeparator" w:id="0">
    <w:p w14:paraId="18EB9F43" w14:textId="77777777" w:rsidR="002825C3" w:rsidRDefault="002825C3" w:rsidP="0060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5F3F" w14:textId="77777777" w:rsidR="00604A3B" w:rsidRDefault="00604A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763781"/>
      <w:docPartObj>
        <w:docPartGallery w:val="Watermarks"/>
        <w:docPartUnique/>
      </w:docPartObj>
    </w:sdtPr>
    <w:sdtEndPr/>
    <w:sdtContent>
      <w:p w14:paraId="61B8D221" w14:textId="1C2E11E5" w:rsidR="00604A3B" w:rsidRDefault="002825C3">
        <w:pPr>
          <w:pStyle w:val="Intestazione"/>
        </w:pPr>
        <w:r>
          <w:pict w14:anchorId="3C2523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19.35pt;height:59.9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PUBBLIC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1322" w14:textId="77777777" w:rsidR="00604A3B" w:rsidRDefault="00604A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25D50"/>
    <w:multiLevelType w:val="hybridMultilevel"/>
    <w:tmpl w:val="45D467B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0F0E"/>
    <w:multiLevelType w:val="hybridMultilevel"/>
    <w:tmpl w:val="A37443A0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84317"/>
    <w:multiLevelType w:val="hybridMultilevel"/>
    <w:tmpl w:val="A37443A0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A98"/>
    <w:multiLevelType w:val="hybridMultilevel"/>
    <w:tmpl w:val="6E82CC82"/>
    <w:lvl w:ilvl="0" w:tplc="1AFEF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87C74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04EE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4CAE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EE4D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868B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09AB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8A43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2102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C2B19"/>
    <w:multiLevelType w:val="hybridMultilevel"/>
    <w:tmpl w:val="271226E6"/>
    <w:lvl w:ilvl="0" w:tplc="CC601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3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20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C8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CF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C1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F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7569D9"/>
    <w:multiLevelType w:val="hybridMultilevel"/>
    <w:tmpl w:val="0258687A"/>
    <w:lvl w:ilvl="0" w:tplc="6F766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81039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95A8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070A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75E5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2A8C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0D6C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0D264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0BE0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 w15:restartNumberingAfterBreak="0">
    <w:nsid w:val="35A3675F"/>
    <w:multiLevelType w:val="hybridMultilevel"/>
    <w:tmpl w:val="6400E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94D95"/>
    <w:multiLevelType w:val="hybridMultilevel"/>
    <w:tmpl w:val="364ED2DE"/>
    <w:lvl w:ilvl="0" w:tplc="04DCA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A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0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6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C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EF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04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0F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305CB1"/>
    <w:multiLevelType w:val="hybridMultilevel"/>
    <w:tmpl w:val="A37443A0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4693D"/>
    <w:multiLevelType w:val="hybridMultilevel"/>
    <w:tmpl w:val="E9A2B250"/>
    <w:lvl w:ilvl="0" w:tplc="CAAA55E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E42C08"/>
    <w:multiLevelType w:val="hybridMultilevel"/>
    <w:tmpl w:val="C174F2F8"/>
    <w:lvl w:ilvl="0" w:tplc="C894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4B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4E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8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A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8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0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46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84E16"/>
    <w:multiLevelType w:val="hybridMultilevel"/>
    <w:tmpl w:val="ACB2CBDE"/>
    <w:lvl w:ilvl="0" w:tplc="89367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73EF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FDE65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38E3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21CA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AC8AE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26C8D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AC026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1ADE0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9" w15:restartNumberingAfterBreak="0">
    <w:nsid w:val="56BA6EB9"/>
    <w:multiLevelType w:val="hybridMultilevel"/>
    <w:tmpl w:val="E5E8A7CA"/>
    <w:lvl w:ilvl="0" w:tplc="91864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D0E4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6A29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9ECD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F30F3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1C024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1BCC0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97A59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5BAD2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0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E3378"/>
    <w:multiLevelType w:val="hybridMultilevel"/>
    <w:tmpl w:val="6400E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0117C"/>
    <w:multiLevelType w:val="hybridMultilevel"/>
    <w:tmpl w:val="EE5A824C"/>
    <w:lvl w:ilvl="0" w:tplc="1EE0B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4A837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A68A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AD80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A3844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5EC74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EE2CAA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72A8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CC47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6" w15:restartNumberingAfterBreak="0">
    <w:nsid w:val="6032332E"/>
    <w:multiLevelType w:val="hybridMultilevel"/>
    <w:tmpl w:val="90881418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015A33"/>
    <w:multiLevelType w:val="hybridMultilevel"/>
    <w:tmpl w:val="A37443A0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45D62"/>
    <w:multiLevelType w:val="hybridMultilevel"/>
    <w:tmpl w:val="45D467B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11"/>
  </w:num>
  <w:num w:numId="4">
    <w:abstractNumId w:val="34"/>
  </w:num>
  <w:num w:numId="5">
    <w:abstractNumId w:val="37"/>
  </w:num>
  <w:num w:numId="6">
    <w:abstractNumId w:val="15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26"/>
  </w:num>
  <w:num w:numId="12">
    <w:abstractNumId w:val="8"/>
  </w:num>
  <w:num w:numId="13">
    <w:abstractNumId w:val="3"/>
  </w:num>
  <w:num w:numId="14">
    <w:abstractNumId w:val="38"/>
  </w:num>
  <w:num w:numId="15">
    <w:abstractNumId w:val="4"/>
  </w:num>
  <w:num w:numId="16">
    <w:abstractNumId w:val="43"/>
  </w:num>
  <w:num w:numId="17">
    <w:abstractNumId w:val="25"/>
  </w:num>
  <w:num w:numId="18">
    <w:abstractNumId w:val="14"/>
  </w:num>
  <w:num w:numId="19">
    <w:abstractNumId w:val="30"/>
  </w:num>
  <w:num w:numId="20">
    <w:abstractNumId w:val="2"/>
  </w:num>
  <w:num w:numId="21">
    <w:abstractNumId w:val="41"/>
  </w:num>
  <w:num w:numId="22">
    <w:abstractNumId w:val="31"/>
  </w:num>
  <w:num w:numId="23">
    <w:abstractNumId w:val="42"/>
  </w:num>
  <w:num w:numId="24">
    <w:abstractNumId w:val="6"/>
  </w:num>
  <w:num w:numId="25">
    <w:abstractNumId w:val="10"/>
  </w:num>
  <w:num w:numId="26">
    <w:abstractNumId w:val="27"/>
  </w:num>
  <w:num w:numId="27">
    <w:abstractNumId w:val="32"/>
  </w:num>
  <w:num w:numId="28">
    <w:abstractNumId w:val="18"/>
  </w:num>
  <w:num w:numId="29">
    <w:abstractNumId w:val="35"/>
  </w:num>
  <w:num w:numId="30">
    <w:abstractNumId w:val="5"/>
  </w:num>
  <w:num w:numId="31">
    <w:abstractNumId w:val="29"/>
  </w:num>
  <w:num w:numId="32">
    <w:abstractNumId w:val="40"/>
  </w:num>
  <w:num w:numId="33">
    <w:abstractNumId w:val="7"/>
  </w:num>
  <w:num w:numId="34">
    <w:abstractNumId w:val="28"/>
  </w:num>
  <w:num w:numId="35">
    <w:abstractNumId w:val="20"/>
  </w:num>
  <w:num w:numId="36">
    <w:abstractNumId w:val="17"/>
  </w:num>
  <w:num w:numId="37">
    <w:abstractNumId w:val="39"/>
  </w:num>
  <w:num w:numId="38">
    <w:abstractNumId w:val="13"/>
  </w:num>
  <w:num w:numId="39">
    <w:abstractNumId w:val="9"/>
  </w:num>
  <w:num w:numId="40">
    <w:abstractNumId w:val="16"/>
  </w:num>
  <w:num w:numId="41">
    <w:abstractNumId w:val="24"/>
  </w:num>
  <w:num w:numId="42">
    <w:abstractNumId w:val="21"/>
  </w:num>
  <w:num w:numId="43">
    <w:abstractNumId w:val="19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1D14"/>
    <w:rsid w:val="0000393E"/>
    <w:rsid w:val="00032FAE"/>
    <w:rsid w:val="00075AA9"/>
    <w:rsid w:val="00092A7E"/>
    <w:rsid w:val="000A7F37"/>
    <w:rsid w:val="000B1C23"/>
    <w:rsid w:val="00104E8C"/>
    <w:rsid w:val="00114677"/>
    <w:rsid w:val="00135207"/>
    <w:rsid w:val="00180213"/>
    <w:rsid w:val="0018173C"/>
    <w:rsid w:val="0019141F"/>
    <w:rsid w:val="00191A68"/>
    <w:rsid w:val="00201FA1"/>
    <w:rsid w:val="0022409A"/>
    <w:rsid w:val="00227EFB"/>
    <w:rsid w:val="002472C6"/>
    <w:rsid w:val="002476B4"/>
    <w:rsid w:val="00251AC2"/>
    <w:rsid w:val="002825C3"/>
    <w:rsid w:val="002865FF"/>
    <w:rsid w:val="002A4A8B"/>
    <w:rsid w:val="002B3C58"/>
    <w:rsid w:val="002D03D2"/>
    <w:rsid w:val="002D2D51"/>
    <w:rsid w:val="002E02AE"/>
    <w:rsid w:val="003017BE"/>
    <w:rsid w:val="003120C4"/>
    <w:rsid w:val="00364B15"/>
    <w:rsid w:val="00391E80"/>
    <w:rsid w:val="003E01D9"/>
    <w:rsid w:val="00402F0F"/>
    <w:rsid w:val="00434C5D"/>
    <w:rsid w:val="00440843"/>
    <w:rsid w:val="0044709F"/>
    <w:rsid w:val="004E1235"/>
    <w:rsid w:val="00502E5C"/>
    <w:rsid w:val="00514CB5"/>
    <w:rsid w:val="0053032D"/>
    <w:rsid w:val="00562095"/>
    <w:rsid w:val="005812A7"/>
    <w:rsid w:val="005812CD"/>
    <w:rsid w:val="005956A0"/>
    <w:rsid w:val="00597AA5"/>
    <w:rsid w:val="005A3529"/>
    <w:rsid w:val="005B4308"/>
    <w:rsid w:val="005B4F56"/>
    <w:rsid w:val="005B54B5"/>
    <w:rsid w:val="00604A3B"/>
    <w:rsid w:val="00652BD1"/>
    <w:rsid w:val="00657F77"/>
    <w:rsid w:val="00664CE1"/>
    <w:rsid w:val="00672939"/>
    <w:rsid w:val="00681A81"/>
    <w:rsid w:val="00685C25"/>
    <w:rsid w:val="00686CAF"/>
    <w:rsid w:val="00694D3C"/>
    <w:rsid w:val="006A41D0"/>
    <w:rsid w:val="006B3345"/>
    <w:rsid w:val="006C4A6B"/>
    <w:rsid w:val="006C521D"/>
    <w:rsid w:val="006E6642"/>
    <w:rsid w:val="00725D13"/>
    <w:rsid w:val="00740D40"/>
    <w:rsid w:val="0074722D"/>
    <w:rsid w:val="007B5226"/>
    <w:rsid w:val="007F02E7"/>
    <w:rsid w:val="007F05A9"/>
    <w:rsid w:val="00804C8D"/>
    <w:rsid w:val="008058F2"/>
    <w:rsid w:val="00806ECB"/>
    <w:rsid w:val="00812693"/>
    <w:rsid w:val="008409B3"/>
    <w:rsid w:val="00860AC6"/>
    <w:rsid w:val="00864F79"/>
    <w:rsid w:val="0087468C"/>
    <w:rsid w:val="008B76A9"/>
    <w:rsid w:val="008E67EC"/>
    <w:rsid w:val="00903BE4"/>
    <w:rsid w:val="00905468"/>
    <w:rsid w:val="00950B80"/>
    <w:rsid w:val="00952A5E"/>
    <w:rsid w:val="00960509"/>
    <w:rsid w:val="00987BAC"/>
    <w:rsid w:val="009C2C04"/>
    <w:rsid w:val="009D772A"/>
    <w:rsid w:val="00A17C3E"/>
    <w:rsid w:val="00A56E87"/>
    <w:rsid w:val="00A57352"/>
    <w:rsid w:val="00A677CA"/>
    <w:rsid w:val="00AA6846"/>
    <w:rsid w:val="00AC732C"/>
    <w:rsid w:val="00B064DF"/>
    <w:rsid w:val="00B22885"/>
    <w:rsid w:val="00B23E4E"/>
    <w:rsid w:val="00B66989"/>
    <w:rsid w:val="00B7485A"/>
    <w:rsid w:val="00B76D21"/>
    <w:rsid w:val="00B8307D"/>
    <w:rsid w:val="00BE0630"/>
    <w:rsid w:val="00C02B12"/>
    <w:rsid w:val="00C140F8"/>
    <w:rsid w:val="00C22F2F"/>
    <w:rsid w:val="00C34E86"/>
    <w:rsid w:val="00C36ABD"/>
    <w:rsid w:val="00C40690"/>
    <w:rsid w:val="00C63EC6"/>
    <w:rsid w:val="00C71D19"/>
    <w:rsid w:val="00C833FA"/>
    <w:rsid w:val="00C85428"/>
    <w:rsid w:val="00C9567A"/>
    <w:rsid w:val="00CA69B5"/>
    <w:rsid w:val="00D25506"/>
    <w:rsid w:val="00D415FB"/>
    <w:rsid w:val="00D50BA1"/>
    <w:rsid w:val="00D54111"/>
    <w:rsid w:val="00D84237"/>
    <w:rsid w:val="00DA6C6D"/>
    <w:rsid w:val="00DE2091"/>
    <w:rsid w:val="00E15E90"/>
    <w:rsid w:val="00E17FE6"/>
    <w:rsid w:val="00E431BC"/>
    <w:rsid w:val="00E56E02"/>
    <w:rsid w:val="00EA47E1"/>
    <w:rsid w:val="00EA5C69"/>
    <w:rsid w:val="00EC7D1E"/>
    <w:rsid w:val="00ED05AD"/>
    <w:rsid w:val="00ED1700"/>
    <w:rsid w:val="00ED383F"/>
    <w:rsid w:val="00ED5E86"/>
    <w:rsid w:val="00EE29F0"/>
    <w:rsid w:val="00F06845"/>
    <w:rsid w:val="00F360F4"/>
    <w:rsid w:val="00F41169"/>
    <w:rsid w:val="00F41CC3"/>
    <w:rsid w:val="00F755E7"/>
    <w:rsid w:val="00F8644E"/>
    <w:rsid w:val="00F872D3"/>
    <w:rsid w:val="00FB22D3"/>
    <w:rsid w:val="00FB68BD"/>
    <w:rsid w:val="00FD0DBE"/>
    <w:rsid w:val="00FF4BF1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78CC46"/>
  <w15:docId w15:val="{918D2794-9E97-42BC-B17F-2C1DDD7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9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989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4A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A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4A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A3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4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003E-32F6-4AF0-BDE3-49461F63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23</cp:revision>
  <cp:lastPrinted>2020-05-21T19:29:00Z</cp:lastPrinted>
  <dcterms:created xsi:type="dcterms:W3CDTF">2020-01-19T22:35:00Z</dcterms:created>
  <dcterms:modified xsi:type="dcterms:W3CDTF">2020-06-09T15:45:00Z</dcterms:modified>
</cp:coreProperties>
</file>